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center"/>
        <w:spacing w:before="0" w:beforeAutospacing="0" w:after="0" w:afterAutospacing="0" w:line="590" w:lineRule="exact"/>
        <w:rPr>
          <w:rStyle w:val="NormalCharacter"/>
          <w:szCs w:val="44"/>
          <w:kern w:val="2"/>
          <w:lang w:val="en-US" w:eastAsia="zh-CN" w:bidi="ar-SA"/>
          <w:b w:val="0"/>
          <w:i w:val="0"/>
          <w:color w:val="000000"/>
          <w:sz w:val="44"/>
          <w:spacing w:val="0"/>
          <w:w w:val="100"/>
          <w:rFonts w:ascii="Times New Roman" w:eastAsia="方正小标宋简体" w:hAnsi="Times New Roman"/>
          <w:caps w:val="0"/>
        </w:rPr>
        <w:snapToGrid/>
        <w:ind w:left="0" w:leftChars="0"/>
        <w:textAlignment w:val="baseline"/>
      </w:pPr>
      <w:r>
        <w:rPr>
          <w:rStyle w:val="NormalCharacter"/>
          <w:szCs w:val="44"/>
          <w:kern w:val="2"/>
          <w:lang w:val="en-US" w:eastAsia="zh-CN" w:bidi="ar-SA"/>
          <w:b w:val="0"/>
          <w:i w:val="0"/>
          <w:color w:val="000000"/>
          <w:sz w:val="44"/>
          <w:spacing w:val="0"/>
          <w:w w:val="100"/>
          <w:rFonts w:ascii="Times New Roman" w:eastAsia="方正小标宋简体" w:hAnsi="Times New Roman"/>
          <w:caps w:val="0"/>
        </w:rPr>
        <w:t xml:space="preserve">内蒙古自治区边境管理行政处罚裁量基准</w:t>
      </w:r>
    </w:p>
    <w:p>
      <w:pPr>
        <w:pStyle w:val="Normal"/>
        <w:jc w:val="center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snapToGrid/>
        <w:ind w:left="0" w:leftChars="0"/>
        <w:textAlignment w:val="baseline"/>
      </w:pPr>
      <w:r>
        <w:rPr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/>
      </w:r>
    </w:p>
    <w:p>
      <w:pPr>
        <w:pStyle w:val="Normal"/>
        <w:jc w:val="center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snapToGrid/>
        <w:ind w:left="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第一章  总</w:t>
      </w:r>
      <w:r>
        <w:rPr>
          <w:rStyle w:val="NormalCharacter"/>
          <w:szCs w:val="32"/>
          <w:kern w:val="0"/>
          <w:lang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  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则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snapToGrid/>
        <w:ind w:left="0" w:leftChars="0"/>
        <w:textAlignment w:val="baseline"/>
      </w:pPr>
      <w:r>
        <w:rPr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一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、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为规范行使行政处罚自由裁量权，减少执法随意性，切实保障当事人的合法权益，根据《中华人民共和国行政处罚法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》《中华人民共和国治安管理处罚法》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《内蒙古自治区边境管理条例》（以下简称《条例》）等相关法律、法规、规章的规定，结合自治区边境管理行政执法实际，制定本基准。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二、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公安边境管理部门根据《条例》规定，对边境管理违法行为作出行政处罚决定的，适用本基准。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三、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边境管理违法行为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t xml:space="preserve">的行政处罚，由公安边境管理部门大队级以上部门决定；其中警告、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t xml:space="preserve">500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t xml:space="preserve">元以下罚款可以由公安边境派出所或者公安边境检查站决定。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四、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适用行政处罚裁量基准，应当遵循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处罚法定、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公平公正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公开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、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合法合理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、过罚相当、教育与处罚相结合原则。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五、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公安边境管理部门应当根据《中华人民共和国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行政处罚法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》《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公安机关办理行政案件程序规定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》等相关法律、法规、规章和规范性文件规定，给予当事人从轻、减轻、从重处罚或者不予处罚。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从轻、减轻、从重处罚和不予处罚应有证据证明，并将相关证据材料附卷。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六、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法律、法规、规章设定的处罚有一定幅度，且基准未作规定的，在幅度范围内综合考虑法定依据、违法情形、性质情节、危害程度、处罚种类、处罚幅度等因素研究确定。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七、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同一违法行为违反了不同法律规范的，在适用法律、法规、规章时应当遵循下列原则： 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（一）优先适用效力高的法律规范； 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（二）法律规范效力相同，属于特别规定的优先适用； 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（三）法律规范效力相同，时间在后的优先适用。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八、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本基准与相关法律、法规、规章和公安部的规定不一致的，按照相关法律、法规、规章和公安部的规定执行。 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九、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t xml:space="preserve">当事人的违法行为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涉嫌其他违法违纪的，应当及时移送有关部门处理。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Times New Roman" w:eastAsia="方正仿宋_GBK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b w:val="0"/>
          <w:i w:val="0"/>
          <w:color w:val="000000"/>
          <w:sz w:val="32"/>
          <w:spacing w:val="0"/>
          <w:w w:val="100"/>
          <w:rFonts w:ascii="Times New Roman" w:eastAsia="方正仿宋_GBK" w:hAnsi="Times New Roman"/>
          <w:caps w:val="0"/>
        </w:rPr>
        <w:t/>
      </w:r>
    </w:p>
    <w:p>
      <w:pPr>
        <w:pStyle w:val="Normal"/>
        <w:jc w:val="center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snapToGrid/>
        <w:ind w:left="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第二章  裁量基准</w:t>
      </w:r>
    </w:p>
    <w:p>
      <w:pPr>
        <w:pStyle w:val="Normal"/>
        <w:jc w:val="center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snapToGrid/>
        <w:ind w:left="0" w:leftChars="0"/>
        <w:textAlignment w:val="baseline"/>
      </w:pPr>
      <w:r>
        <w:rPr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t xml:space="preserve">一、进出边境管理区，拒绝接受检查</w:t>
      </w:r>
    </w:p>
    <w:p>
      <w:pPr>
        <w:pStyle w:val="Normal"/>
        <w:jc w:val="left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【适用依据】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《条例》第三十一条第一项  违反本条例规定，有下列情形之一的，由公安边境管理部门处警告或者500元以下罚款：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（一）进出边境管理区，拒绝公安边境管理部门或者边防部队检查的;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【裁量基准】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1.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以沉默方式拒绝接受检查的，处警告或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者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200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元以下罚款；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2.明确拒绝接受检查或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者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以其他方式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拒绝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检查的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，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处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200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元以上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500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元以下罚款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。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t xml:space="preserve">二、不跟群放牧造成牲畜越界</w:t>
      </w:r>
    </w:p>
    <w:p>
      <w:pPr>
        <w:pStyle w:val="Normal"/>
        <w:jc w:val="left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【适用依据】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《条例》第三十一条第三项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  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违反本条例规定，有下列情形之一的，由公安边境管理部门处警告或者500元以下罚款：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Times New Roman" w:eastAsia="方正仿宋_GBK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（三）不跟群放牧造成牲畜越界的。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【裁量基准】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1.首次不跟群放牧造成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牲畜越界的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，危害后果轻微未引发涉外事件并及时改正的，可以不予处罚；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2.首次不跟群放牧造成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牲畜越界的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，引发涉外事件的，处警告或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者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200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元以下罚款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；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3.一年内曾因不跟群放牧造成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牲畜越界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被处罚，再次发生的，处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200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元以上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500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元以下罚款。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三、擅自在距国界线1公里的地带鸣枪</w:t>
      </w:r>
    </w:p>
    <w:p>
      <w:pPr>
        <w:pStyle w:val="Normal"/>
        <w:jc w:val="left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【适用依据】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《条例》第三十二条第一项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  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违反本条例规定，有下列情形之一的，由公安边境管理部门处500元以上3000元以下罚款：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（一）擅自在距国界线1公里的地带鸣枪的;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【裁量基准】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1.擅自在距国界线1公里的地带鸣枪，未引发涉外事件等后果的，处500元以上1000元以下罚款；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2.擅自在距国界线1公里的地带鸣枪，引发涉外事件等后果尚不构成犯罪的，处1000元以上3000元以下罚款。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t xml:space="preserve">四、擅自使役、宰杀、藏匿、出卖、私分越入我国境内牲畜</w:t>
      </w:r>
    </w:p>
    <w:p>
      <w:pPr>
        <w:pStyle w:val="Normal"/>
        <w:jc w:val="left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【适用依据】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《条例》第三十二条第三项、第二款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  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违反本条例规定，有下列情形之一的，由公安边境管理部门处500元以上3000元以下罚款：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（三）擅自使役、宰杀、藏匿、出卖、私分越入我国境内牲畜的;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违反本条第（三）项的行为除按规定处罚外，并处没收违法所得。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【裁量基准】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1.擅自使役、宰杀、藏匿、出卖、私分邻国越入我国境内牲畜数量三只（头）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以下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的，处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500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元以上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1000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元以下罚款，并处没收违法所得；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Times New Roman" w:eastAsia="方正仿宋_GBK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2.擅自使役、宰杀、藏匿、出卖、私分邻国越入我国境内牲畜数量三只（头）以上的，处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1000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元以上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3000</w:t>
      </w: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仿宋_GB2312" w:hAnsi="Times New Roman"/>
          <w:caps w:val="0"/>
        </w:rPr>
        <w:t xml:space="preserve">元以下罚款，并处没收违法所得。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t/>
      </w:r>
    </w:p>
    <w:p>
      <w:pPr>
        <w:pStyle w:val="Normal"/>
        <w:jc w:val="center"/>
        <w:spacing w:before="0" w:beforeAutospacing="0" w:after="0" w:afterAutospacing="0" w:line="59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snapToGrid/>
        <w:ind w:left="0" w:leftChars="0"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t xml:space="preserve">第三章  附  则</w:t>
      </w:r>
    </w:p>
    <w:p>
      <w:pPr>
        <w:pStyle w:val="Normal"/>
        <w:jc w:val="center"/>
        <w:spacing w:before="0" w:beforeAutospacing="0" w:after="0" w:afterAutospacing="0" w:line="59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snapToGrid/>
        <w:ind w:left="0" w:leftChars="0"/>
        <w:textAlignment w:val="baseline"/>
      </w:pPr>
      <w:r>
        <w:rPr>
          <w:b w:val="0"/>
          <w:i w:val="0"/>
          <w:sz w:val="32"/>
          <w:spacing w:val="0"/>
          <w:w w:val="100"/>
          <w:rFonts w:ascii="Times New Roman" w:eastAsia="黑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一、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t xml:space="preserve">本基准规定的“以上”、“以下”，包括本数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t xml:space="preserve">，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t xml:space="preserve">但对分段连续记数中的重叠数字，“以上”不含本数。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snapToGrid/>
        <w:ind w:left="0" w:firstLine="640" w:firstLineChars="200" w:leftChars="0"/>
        <w:textAlignment w:val="baseline"/>
      </w:pPr>
      <w:r>
        <w:rPr>
          <w:rStyle w:val="NormalCharacter"/>
          <w:szCs w:val="32"/>
          <w:kern w:val="0"/>
          <w:lang w:val="en-US" w:eastAsia="zh-CN"/>
          <w:b w:val="0"/>
          <w:i w:val="0"/>
          <w:color w:val="000000"/>
          <w:sz w:val="32"/>
          <w:spacing w:val="0"/>
          <w:w w:val="100"/>
          <w:rFonts w:ascii="Times New Roman" w:eastAsia="黑体" w:hAnsi="Times New Roman"/>
          <w:caps w:val="0"/>
        </w:rPr>
        <w:t xml:space="preserve">二、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t xml:space="preserve">本基准自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t xml:space="preserve">公布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t xml:space="preserve">之日起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t xml:space="preserve">30日后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Times New Roman" w:eastAsia="仿宋_GB2312" w:hAnsi="Times New Roman"/>
          <w:caps w:val="0"/>
        </w:rPr>
        <w:t xml:space="preserve">施行。</w:t>
      </w:r>
    </w:p>
    <w:p>
      <w:pPr>
        <w:pStyle w:val="Normal"/>
        <w:jc w:val="both"/>
        <w:spacing w:before="0" w:beforeAutospacing="0" w:after="0" w:afterAutospacing="0" w:line="59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hAnsi="Times New Roman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Times New Roman" w:hAnsi="Times New Roman"/>
          <w:caps w:val="0"/>
        </w:rPr>
        <w:t/>
      </w:r>
    </w:p>
    <w:sectPr>
      <w:footerReference w:type="default" r:id="rId3"/>
      <w:type w:val="nextPage"/>
      <w:pgSz w:h="16838" w:w="11906" w:orient="portrait"/>
      <w:pgMar w:gutter="0" w:header="851" w:top="2098" w:bottom="1984" w:footer="992" w:left="1587" w:right="1474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Calibri">
    <w:altName w:val="Calibri"/>
    <w:charset w:val="00"/>
    <w:family w:val="swiss"/>
    <w:panose1 w:val="020f0502020204030204"/>
    <w:pitch w:val="default"/>
    <w:sig w:usb0="e00002ff" w:usb1="4000acff" w:usb2="00000001" w:usb3="00000000" w:csb0="2000019f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方正小标宋简体">
    <w:altName w:val="方正小标宋简体"/>
    <w:charset w:val="86"/>
    <w:family w:val="script"/>
    <w:panose1 w:val="02010601030101010101"/>
    <w:pitch w:val="default"/>
    <w:sig w:usb0="00000001" w:usb1="080e0000" w:usb2="00000000" w:usb3="00000000" w:csb0="00040000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仿宋_GB2312">
    <w:altName w:val="仿宋_GB2312"/>
    <w:charset w:val="86"/>
    <w:family w:val="modern"/>
    <w:panose1 w:val="02010609030101010101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anose1 w:val="02000000000000000000"/>
    <w:pitch w:val="default"/>
    <w:sig w:usb0="00000001" w:usb1="08000000" w:usb2="00000000" w:usb3="00000000" w:csb0="00040000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24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  <w:r>
      <w:rPr>
        <w:rStyle w:val="NormalCharacter"/>
        <w:szCs w:val="24"/>
        <w:sz w:val="18"/>
        <w:kern w:val="2"/>
        <w:lang w:val="en-US" w:eastAsia="zh-CN" w:bidi="ar-SA"/>
      </w:rPr>
      <w:pict>
        <v:shape id="_x0000_s2049" type="#_x0000_t202" style="position:absolute;width:144.0pt;height:144.0pt;v-text-anchor:top;mso-position-horizontal:outside;z-index:524288;mso-position-horizontal-relative:margin;" filled="f" stroked="f" coordsize="21600,21600">
          <v:stroke linestyle="single"/>
          <v:textbox inset="0.0pt,0.0pt,0.0pt,0.0pt">
            <w:txbxContent>
              <w:p>
                <w:pPr>
                  <w:pStyle w:val="Footer"/>
                  <w:rPr>
                    <w:rStyle w:val="NormalCharacter"/>
                    <w:szCs w:val="28"/>
                    <w:sz w:val="28"/>
                    <w:kern w:val="2"/>
                    <w:lang w:val="en-US" w:eastAsia="zh-CN" w:bidi="ar-SA"/>
                    <w:rFonts w:ascii="宋体" w:eastAsia="宋体" w:hAnsi="宋体"/>
                  </w:rPr>
                  <w:widowControl/>
                  <w:tabs>
                    <w:tab w:leader="none" w:val="center" w:pos="4153"/>
                    <w:tab w:leader="none" w:val="right" w:pos="8306"/>
                  </w:tabs>
                  <w:snapToGrid w:val="0"/>
                  <w:jc w:val="left"/>
                  <w:textAlignment w:val="baseline"/>
                </w:pPr>
                <w:r>
                  <w:rPr>
                    <w:rStyle w:val="NormalCharacter"/>
                    <w:szCs w:val="28"/>
                    <w:sz w:val="28"/>
                    <w:kern w:val="2"/>
                    <w:lang w:val="en-US" w:eastAsia="zh-CN" w:bidi="ar-SA"/>
                    <w:rFonts w:ascii="宋体" w:eastAsia="宋体" w:hAnsi="宋体"/>
                  </w:rPr>
                </w:r>
              </w:p>
              <w:p>
                <w:pPr>
                  <w:pStyle w:val="Normal"/>
                  <w:rPr>
                    <w:rStyle w:val="NormalCharacter"/>
                    <w:szCs w:val="24"/>
                    <w:sz w:val="21"/>
                    <w:kern w:val="2"/>
                    <w:lang w:val="en-US" w:eastAsia="zh-CN" w:bidi="ar-SA"/>
                  </w:rPr>
                  <w:jc w:val="both"/>
                  <w:textAlignment w:val="baseline"/>
                </w:pP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eastAsia="宋体" w:hAnsi="Calibri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character" w:styleId="UserStyle_0">
    <w:name w:val="UserStyle_0"/>
    <w:basedOn w:val="NormalCharacter"/>
    <w:next w:val="UserStyle_0"/>
    <w:link w:val="Normal"/>
    <w:rPr>
      <w:color w:val="C01D28"/>
    </w:rPr>
  </w:style>
  <w:style w:type="character" w:styleId="Hyperlink">
    <w:name w:val="Hyperlink"/>
    <w:basedOn w:val="NormalCharacter"/>
    <w:next w:val="Hyperlink"/>
    <w:link w:val="Normal"/>
    <w:rPr>
      <w:color w:val="666666"/>
    </w:rPr>
  </w:style>
  <w:style w:type="paragraph" w:styleId="Header">
    <w:name w:val="Header"/>
    <w:basedOn w:val="Normal"/>
    <w:next w:val="Header"/>
    <w:link w:val="Normal"/>
    <w:pPr>
      <w:rPr>
        <w:szCs w:val="24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framePr w:outlineLvl="9"/>
      <w:spacing w:line="240" w:lineRule="auto"/>
      <w:jc w:val="both"/>
      <w:textAlignment w:val="baseline"/>
      <w:pBdr>
        <w:top w:space="1" w:color="000000" w:val="none" w:sz="0"/>
        <w:left w:space="4" w:color="000000" w:val="none" w:sz="0"/>
        <w:bottom w:space="1" w:color="000000" w:val="none" w:sz="0"/>
        <w:right w:space="4" w:color="000000" w:val="none" w:sz="0"/>
      </w:pBdr>
    </w:pPr>
    <w:rPr>
      <w:szCs w:val="24"/>
      <w:sz w:val="18"/>
      <w:kern w:val="2"/>
      <w:lang w:val="en-US" w:eastAsia="zh-CN" w:bidi="ar-SA"/>
    </w:rPr>
  </w:style>
  <w:style w:type="paragraph" w:styleId="Footer">
    <w:name w:val="Footer"/>
    <w:basedOn w:val="Normal"/>
    <w:next w:val="Footer"/>
    <w:link w:val="Normal"/>
    <w:pPr>
      <w:rPr>
        <w:szCs w:val="24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24"/>
      <w:sz w:val="18"/>
      <w:kern w:val="2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oter" Target="footer1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44"/>
          <w:sz w:val="44"/>
          <w:kern w:val="2"/>
          <w:lang w:val="en-US" w:eastAsia="zh-CN" w:bidi="ar-SA"/>
          <w:rFonts w:ascii="Times New Roman" w:eastAsia="方正小标宋简体" w:hAnsi="Times New Roman"/>
          <w:color w:val="000000"/>
        </w:rPr>
        <w:autoSpaceDE/>
        <w:autoSpaceDN/>
        <w:bidi w:val="off"/>
        <w:kinsoku/>
        <w:kinsoku/>
        <w:overflowPunct/>
        <w:topLinePunct/>
        <w:wordWrap/>
        <w:ind w:leftChars="0" w:left="0"/>
        <w:spacing w:line="590" w:lineRule="exact"/>
        <w:jc w:val="center"/>
        <w:textAlignment w:val="auto"/>
      </w:pPr>
      <w:r>
        <w:rPr>
          <w:rStyle w:val="NormalCharacter"/>
          <w:szCs w:val="44"/>
          <w:sz w:val="44"/>
          <w:kern w:val="2"/>
          <w:lang w:val="en-US" w:eastAsia="zh-CN" w:bidi="ar-SA"/>
          <w:rFonts w:ascii="Times New Roman" w:eastAsia="方正小标宋简体" w:hAnsi="Times New Roman"/>
          <w:color w:val="000000"/>
        </w:rPr>
        <w:t xml:space="preserve">内蒙古自治区边境管理行政处罚裁量基准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left="0"/>
        <w:spacing w:line="590" w:lineRule="exact"/>
        <w:jc w:val="center"/>
        <w:textAlignment w:val="auto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left="0"/>
        <w:spacing w:line="590" w:lineRule="exact"/>
        <w:jc w:val="center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第一章  总</w:t>
      </w:r>
      <w:r>
        <w:rPr>
          <w:rStyle w:val="NormalCharacter"/>
          <w:szCs w:val="32"/>
          <w:sz w:val="32"/>
          <w:kern w:val="0"/>
          <w:lang w:eastAsia="zh-CN"/>
          <w:rFonts w:ascii="Times New Roman" w:eastAsia="黑体" w:hAnsi="Times New Roman"/>
          <w:color w:val="000000"/>
        </w:rPr>
        <w:t xml:space="preserve">  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则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left="0"/>
        <w:spacing w:line="590" w:lineRule="exact"/>
        <w:jc w:val="both"/>
        <w:textAlignment w:val="auto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一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、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为规范行使行政处罚自由裁量权，减少执法随意性，切实保障当事人的合法权益，根据《中华人民共和国行政处罚法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》《中华人民共和国治安管理处罚法》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《内蒙古自治区边境管理条例》（以下简称《条例》）等相关法律、法规、规章的规定，结合自治区边境管理行政执法实际，制定本基准。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二、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公安边境管理部门根据《条例》规定，对边境管理违法行为作出行政处罚决定的，适用本基准。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三、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边境管理违法行为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</w:rPr>
        <w:t xml:space="preserve">的行政处罚，由公安边境管理部门大队级以上部门决定；其中警告、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</w:rPr>
        <w:t xml:space="preserve">500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</w:rPr>
        <w:t xml:space="preserve">元以下罚款可以由公安边境派出所或者公安边境检查站决定。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四、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适用行政处罚裁量基准，应当遵循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处罚法定、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公平公正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公开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、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合法合理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、过罚相当、教育与处罚相结合原则。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五、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公安边境管理部门应当根据《中华人民共和国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行政处罚法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》《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公安机关办理行政案件程序规定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》等相关法律、法规、规章和规范性文件规定，给予当事人从轻、减轻、从重处罚或者不予处罚。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从轻、减轻、从重处罚和不予处罚应有证据证明，并将相关证据材料附卷。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六、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法律、法规、规章设定的处罚有一定幅度，且基准未作规定的，在幅度范围内综合考虑法定依据、违法情形、性质情节、危害程度、处罚种类、处罚幅度等因素研究确定。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七、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同一违法行为违反了不同法律规范的，在适用法律、法规、规章时应当遵循下列原则： 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（一）优先适用效力高的法律规范； 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（二）法律规范效力相同，属于特别规定的优先适用； 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（三）法律规范效力相同，时间在后的优先适用。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八、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本基准与相关法律、法规、规章和公安部的规定不一致的，按照相关法律、法规、规章和公安部的规定执行。 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九、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</w:rPr>
        <w:t xml:space="preserve">当事人的违法行为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  <w:color w:val="000000"/>
        </w:rPr>
        <w:t xml:space="preserve">涉嫌其他违法违纪的，应当及时移送有关部门处理。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方正仿宋_GBK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left="0"/>
        <w:spacing w:line="590" w:lineRule="exact"/>
        <w:jc w:val="center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第二章  裁量基准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left="0"/>
        <w:spacing w:line="590" w:lineRule="exact"/>
        <w:jc w:val="center"/>
        <w:textAlignment w:val="auto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autoSpaceDE/>
        <w:autoSpaceDN/>
        <w:bidi w:val="off"/>
        <w:contextualSpacing/>
        <w:kinsoku/>
        <w:kinsoku/>
        <w:overflow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t xml:space="preserve">一、进出边境管理区，拒绝接受检查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【适用依据】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《条例》第三十一条第一项  违反本条例规定，有下列情形之一的，由公安边境管理部门处警告或者500元以下罚款：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（一）进出边境管理区，拒绝公安边境管理部门或者边防部队检查的;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  <w:color w:val="000000"/>
        </w:rPr>
        <w:autoSpaceDE/>
        <w:autoSpaceDN/>
        <w:bidi w:val="off"/>
        <w:contextualSpacing/>
        <w:kinsoku/>
        <w:kinsoku/>
        <w:overflow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  <w:color w:val="000000"/>
        </w:rPr>
        <w:t xml:space="preserve">【裁量基准】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1.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以沉默方式拒绝接受检查的，处警告或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者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200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元以下罚款；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2.明确拒绝接受检查或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者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以其他方式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拒绝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检查的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，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处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200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元以上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500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元以下罚款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t xml:space="preserve">二、不跟群放牧造成牲畜越界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【适用依据】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《条例》第三十一条第三项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  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违反本条例规定，有下列情形之一的，由公安边境管理部门处警告或者500元以下罚款：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方正仿宋_GBK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（三）不跟群放牧造成牲畜越界的。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  <w:color w:val="000000"/>
        </w:rPr>
        <w:autoSpaceDE/>
        <w:autoSpaceDN/>
        <w:bidi w:val="off"/>
        <w:contextualSpacing/>
        <w:kinsoku/>
        <w:kinsoku/>
        <w:overflow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  <w:color w:val="000000"/>
        </w:rPr>
        <w:t xml:space="preserve">【裁量基准】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1.首次不跟群放牧造成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牲畜越界的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，危害后果轻微未引发涉外事件并及时改正的，可以不予处罚；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2.首次不跟群放牧造成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牲畜越界的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，引发涉外事件的，处警告或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者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200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元以下罚款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3.一年内曾因不跟群放牧造成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牲畜越界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被处罚，再次发生的，处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200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元以上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500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元以下罚款。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三、擅自在距国界线1公里的地带鸣枪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【适用依据】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《条例》第三十二条第一项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  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违反本条例规定，有下列情形之一的，由公安边境管理部门处500元以上3000元以下罚款：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（一）擅自在距国界线1公里的地带鸣枪的;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  <w:color w:val="000000"/>
        </w:rPr>
        <w:autoSpaceDE/>
        <w:autoSpaceDN/>
        <w:bidi w:val="off"/>
        <w:contextualSpacing/>
        <w:kinsoku/>
        <w:kinsoku/>
        <w:overflow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  <w:color w:val="000000"/>
        </w:rPr>
        <w:t xml:space="preserve">【裁量基准】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1.擅自在距国界线1公里的地带鸣枪，未引发涉外事件等后果的，处五百元以上一千元以下罚款；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2.擅自在距国界线1公里的地带鸣枪，引发涉外事件等后果尚不构成犯罪的，处一千元以上三千元以下罚款。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autoSpaceDE/>
        <w:autoSpaceDN/>
        <w:bidi w:val="off"/>
        <w:contextualSpacing/>
        <w:kinsoku/>
        <w:kinsoku/>
        <w:overflow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t xml:space="preserve">四、擅自使役、宰杀、藏匿、出卖、私分越入我国境内牲畜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【适用依据】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《条例》第三十二条第三项、第二款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  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违反本条例规定，有下列情形之一的，由公安边境管理部门处500元以上3000元以下罚款：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（三）擅自使役、宰杀、藏匿、出卖、私分越入我国境内牲畜的;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违反本条第（三）项的行为除按规定处罚外，并处没收违法所得。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  <w:color w:val="000000"/>
        </w:rPr>
        <w:autoSpaceDE/>
        <w:autoSpaceDN/>
        <w:bidi w:val="off"/>
        <w:contextualSpacing/>
        <w:kinsoku/>
        <w:kinsoku/>
        <w:overflow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  <w:color w:val="000000"/>
        </w:rPr>
        <w:t xml:space="preserve">【裁量基准】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1.擅自使役、宰杀、藏匿、出卖、私分邻国越入我国境内牲畜数量三只（头）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以下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的，处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500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元以上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1000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元以下罚款，并处没收违法所得；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方正仿宋_GBK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2.擅自使役、宰杀、藏匿、出卖、私分邻国越入我国境内牲畜数量三只（头）以上的，处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1000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元以上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3000</w:t>
      </w:r>
      <w:r>
        <w:rPr>
          <w:rStyle w:val="NormalCharacter"/>
          <w:szCs w:val="32"/>
          <w:sz w:val="32"/>
          <w:kern w:val="0"/>
          <w:lang w:val="en-US" w:eastAsia="zh-CN"/>
          <w:rFonts w:ascii="Times New Roman" w:eastAsia="仿宋_GB2312" w:hAnsi="Times New Roman"/>
          <w:color w:val="000000"/>
        </w:rPr>
        <w:t xml:space="preserve">元以下罚款，并处没收违法所得。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left="0"/>
        <w:spacing w:line="590" w:lineRule="exact"/>
        <w:jc w:val="center"/>
        <w:textAlignment w:val="auto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t xml:space="preserve">第三章  附  则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黑体" w:hAnsi="Times New Roman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left="0"/>
        <w:spacing w:line="590" w:lineRule="exact"/>
        <w:jc w:val="center"/>
        <w:textAlignment w:val="auto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一、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</w:rPr>
        <w:t xml:space="preserve">本基准规定的“以上”、“以下”，包括本数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</w:rPr>
        <w:t xml:space="preserve">，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</w:rPr>
        <w:t xml:space="preserve">但对分段连续记数中的重叠数字，“以上”不含本数。</w:t>
      </w:r>
    </w:p>
    <w:p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</w:rPr>
        <w:autoSpaceDE/>
        <w:autoSpaceDN/>
        <w:bidi w:val="off"/>
        <w:contextualSpacing/>
        <w:kinsoku/>
        <w:kinsoku/>
        <w:overflowPunct/>
        <w:topLinePunct/>
        <w:wordWrap/>
        <w:ind w:leftChars="0" w:firstLine="640" w:left="0" w:firstLineChars="200"/>
        <w:spacing w:line="590" w:lineRule="exact"/>
        <w:jc w:val="both"/>
        <w:textAlignment w:val="auto"/>
      </w:pPr>
      <w:r>
        <w:rPr>
          <w:rStyle w:val="NormalCharacter"/>
          <w:szCs w:val="32"/>
          <w:sz w:val="32"/>
          <w:kern w:val="0"/>
          <w:lang w:val="en-US" w:eastAsia="zh-CN"/>
          <w:rFonts w:ascii="Times New Roman" w:eastAsia="黑体" w:hAnsi="Times New Roman"/>
          <w:color w:val="000000"/>
        </w:rPr>
        <w:t xml:space="preserve">二、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</w:rPr>
        <w:t xml:space="preserve">本基准自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</w:rPr>
        <w:t xml:space="preserve">公布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</w:rPr>
        <w:t xml:space="preserve">之日起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</w:rPr>
        <w:t xml:space="preserve">30日后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Times New Roman" w:eastAsia="仿宋_GB2312" w:hAnsi="Times New Roman"/>
        </w:rPr>
        <w:t xml:space="preserve">施行。</w:t>
      </w:r>
    </w:p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Times New Roman" w:hAnsi="Times New Roman"/>
        </w:rPr>
        <w:autoSpaceDE/>
        <w:autoSpaceDN/>
        <w:bidi w:val="off"/>
        <w:kinsoku/>
        <w:kinsoku/>
        <w:overflowPunct/>
        <w:wordWrap/>
        <w:spacing w:line="590" w:lineRule="exact"/>
        <w:jc w:val="both"/>
        <w:textAlignment w:val="auto"/>
      </w:pPr>
    </w:p>
    <w:sectPr>
      <w:footerReference w:type="default" r:id="rId3"/>
      <w:vAlign w:val="top"/>
      <w:type w:val="nextPage"/>
      <w:pgSz w:h="16838" w:w="11906" w:orient="portrait"/>
      <w:pgMar w:gutter="0" w:header="851" w:top="2098" w:bottom="1984" w:footer="992" w:left="1587" w:right="1474"/>
      <w:lnNumType w:countBy="0"/>
      <w:paperSrc w:first="0" w:other="0"/>
      <w:cols w:space="425" w:num="1"/>
      <w:docGrid w:charSpace="0" w:linePitch="312" w:type="lines"/>
    </w:sectPr>
  </w:body>
</w:document>
</file>

<file path=treport/opRecord.xml>
</file>